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7EC2" w14:textId="77777777" w:rsidR="004602D1" w:rsidRPr="00B6080E" w:rsidRDefault="004602D1" w:rsidP="00B6080E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080E">
        <w:rPr>
          <w:rFonts w:ascii="Times New Roman" w:eastAsia="Times New Roman" w:hAnsi="Times New Roman" w:cs="Times New Roman"/>
          <w:b/>
          <w:sz w:val="24"/>
          <w:szCs w:val="24"/>
        </w:rPr>
        <w:t>Supplementary Table S2</w:t>
      </w:r>
      <w:r w:rsidRPr="00B6080E">
        <w:rPr>
          <w:rFonts w:ascii="Times New Roman" w:eastAsia="Times New Roman" w:hAnsi="Times New Roman" w:cs="Times New Roman"/>
          <w:sz w:val="24"/>
          <w:szCs w:val="24"/>
        </w:rPr>
        <w:t>. Maternal characteristics in monochorionic twins by cord insertion type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39"/>
        <w:gridCol w:w="2224"/>
        <w:gridCol w:w="2092"/>
        <w:gridCol w:w="1571"/>
      </w:tblGrid>
      <w:tr w:rsidR="004602D1" w:rsidRPr="00B6080E" w14:paraId="5BD2E5C7" w14:textId="77777777" w:rsidTr="000A7BF8">
        <w:trPr>
          <w:trHeight w:val="81"/>
        </w:trPr>
        <w:tc>
          <w:tcPr>
            <w:tcW w:w="3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9909A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194B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Velamentous (n=44)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038AD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Normal (n=199)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03EF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</w:t>
            </w: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-value</w:t>
            </w:r>
          </w:p>
        </w:tc>
      </w:tr>
      <w:tr w:rsidR="004602D1" w:rsidRPr="00B6080E" w14:paraId="486BC788" w14:textId="77777777" w:rsidTr="000A7BF8">
        <w:trPr>
          <w:trHeight w:val="560"/>
        </w:trPr>
        <w:tc>
          <w:tcPr>
            <w:tcW w:w="3139" w:type="dxa"/>
            <w:tcBorders>
              <w:top w:val="single" w:sz="4" w:space="0" w:color="auto"/>
            </w:tcBorders>
            <w:shd w:val="clear" w:color="auto" w:fill="auto"/>
          </w:tcPr>
          <w:p w14:paraId="44C5EA2B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Preterm birth at &lt;36 weeks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</w:tcPr>
          <w:p w14:paraId="77B55C85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31/44 (70.5%)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</w:tcPr>
          <w:p w14:paraId="03AB3F8C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80/199 (40.2%)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BB1A09E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&lt;0.001</w:t>
            </w:r>
          </w:p>
        </w:tc>
      </w:tr>
      <w:tr w:rsidR="004602D1" w:rsidRPr="00B6080E" w14:paraId="04773928" w14:textId="77777777" w:rsidTr="000A7BF8">
        <w:trPr>
          <w:trHeight w:val="560"/>
        </w:trPr>
        <w:tc>
          <w:tcPr>
            <w:tcW w:w="3139" w:type="dxa"/>
            <w:shd w:val="clear" w:color="auto" w:fill="auto"/>
          </w:tcPr>
          <w:p w14:paraId="69D28917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Preterm PROM</w:t>
            </w:r>
          </w:p>
        </w:tc>
        <w:tc>
          <w:tcPr>
            <w:tcW w:w="2224" w:type="dxa"/>
            <w:shd w:val="clear" w:color="auto" w:fill="auto"/>
          </w:tcPr>
          <w:p w14:paraId="4CE22BA5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3/44 (6.8%)</w:t>
            </w:r>
          </w:p>
        </w:tc>
        <w:tc>
          <w:tcPr>
            <w:tcW w:w="2092" w:type="dxa"/>
            <w:shd w:val="clear" w:color="auto" w:fill="auto"/>
          </w:tcPr>
          <w:p w14:paraId="1BB12F30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16/199 (8.0%)</w:t>
            </w:r>
          </w:p>
        </w:tc>
        <w:tc>
          <w:tcPr>
            <w:tcW w:w="1571" w:type="dxa"/>
            <w:shd w:val="clear" w:color="auto" w:fill="auto"/>
          </w:tcPr>
          <w:p w14:paraId="776BFA88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02D1" w:rsidRPr="00B6080E" w14:paraId="2DD57AE0" w14:textId="77777777" w:rsidTr="000A7BF8">
        <w:trPr>
          <w:trHeight w:val="560"/>
        </w:trPr>
        <w:tc>
          <w:tcPr>
            <w:tcW w:w="3139" w:type="dxa"/>
            <w:shd w:val="clear" w:color="auto" w:fill="auto"/>
          </w:tcPr>
          <w:p w14:paraId="6CD86FD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Preeclampsia</w:t>
            </w:r>
          </w:p>
        </w:tc>
        <w:tc>
          <w:tcPr>
            <w:tcW w:w="2224" w:type="dxa"/>
            <w:shd w:val="clear" w:color="auto" w:fill="auto"/>
          </w:tcPr>
          <w:p w14:paraId="4647BA23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3/44 (6.8%)</w:t>
            </w:r>
          </w:p>
        </w:tc>
        <w:tc>
          <w:tcPr>
            <w:tcW w:w="2092" w:type="dxa"/>
            <w:shd w:val="clear" w:color="auto" w:fill="auto"/>
          </w:tcPr>
          <w:p w14:paraId="48BCB68B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26/199 (13.1%)</w:t>
            </w:r>
          </w:p>
        </w:tc>
        <w:tc>
          <w:tcPr>
            <w:tcW w:w="1571" w:type="dxa"/>
            <w:shd w:val="clear" w:color="auto" w:fill="auto"/>
          </w:tcPr>
          <w:p w14:paraId="0AB3C692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0.312</w:t>
            </w:r>
          </w:p>
        </w:tc>
      </w:tr>
      <w:tr w:rsidR="004602D1" w:rsidRPr="00B6080E" w14:paraId="67215A96" w14:textId="77777777" w:rsidTr="000A7BF8">
        <w:trPr>
          <w:trHeight w:val="560"/>
        </w:trPr>
        <w:tc>
          <w:tcPr>
            <w:tcW w:w="3139" w:type="dxa"/>
            <w:shd w:val="clear" w:color="auto" w:fill="auto"/>
          </w:tcPr>
          <w:p w14:paraId="71D7A0D0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Diabetes mellitus</w:t>
            </w:r>
          </w:p>
        </w:tc>
        <w:tc>
          <w:tcPr>
            <w:tcW w:w="2224" w:type="dxa"/>
            <w:shd w:val="clear" w:color="auto" w:fill="auto"/>
          </w:tcPr>
          <w:p w14:paraId="784149AA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2/44 (4.5%)</w:t>
            </w:r>
          </w:p>
        </w:tc>
        <w:tc>
          <w:tcPr>
            <w:tcW w:w="2092" w:type="dxa"/>
            <w:shd w:val="clear" w:color="auto" w:fill="auto"/>
          </w:tcPr>
          <w:p w14:paraId="7BB3F391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5/199 (2.5%)</w:t>
            </w:r>
          </w:p>
        </w:tc>
        <w:tc>
          <w:tcPr>
            <w:tcW w:w="1571" w:type="dxa"/>
            <w:shd w:val="clear" w:color="auto" w:fill="auto"/>
          </w:tcPr>
          <w:p w14:paraId="419408C6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0.613</w:t>
            </w:r>
          </w:p>
        </w:tc>
      </w:tr>
      <w:tr w:rsidR="004602D1" w:rsidRPr="00B6080E" w14:paraId="1E8E5856" w14:textId="77777777" w:rsidTr="000A7BF8">
        <w:trPr>
          <w:trHeight w:val="432"/>
        </w:trPr>
        <w:tc>
          <w:tcPr>
            <w:tcW w:w="3139" w:type="dxa"/>
            <w:shd w:val="clear" w:color="auto" w:fill="auto"/>
          </w:tcPr>
          <w:p w14:paraId="059D115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Mode of conception</w:t>
            </w:r>
          </w:p>
        </w:tc>
        <w:tc>
          <w:tcPr>
            <w:tcW w:w="2224" w:type="dxa"/>
            <w:shd w:val="clear" w:color="auto" w:fill="auto"/>
          </w:tcPr>
          <w:p w14:paraId="75AF498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60A5148A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14:paraId="3811D111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0.695</w:t>
            </w:r>
          </w:p>
        </w:tc>
      </w:tr>
      <w:tr w:rsidR="004602D1" w:rsidRPr="00B6080E" w14:paraId="312A5C74" w14:textId="77777777" w:rsidTr="000A7BF8">
        <w:trPr>
          <w:trHeight w:val="464"/>
        </w:trPr>
        <w:tc>
          <w:tcPr>
            <w:tcW w:w="3139" w:type="dxa"/>
            <w:shd w:val="clear" w:color="auto" w:fill="auto"/>
          </w:tcPr>
          <w:p w14:paraId="55DFA8F1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Natural</w:t>
            </w:r>
          </w:p>
        </w:tc>
        <w:tc>
          <w:tcPr>
            <w:tcW w:w="2224" w:type="dxa"/>
            <w:shd w:val="clear" w:color="auto" w:fill="auto"/>
          </w:tcPr>
          <w:p w14:paraId="00610D41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35/44 (79.5%)</w:t>
            </w:r>
          </w:p>
        </w:tc>
        <w:tc>
          <w:tcPr>
            <w:tcW w:w="2092" w:type="dxa"/>
            <w:shd w:val="clear" w:color="auto" w:fill="auto"/>
          </w:tcPr>
          <w:p w14:paraId="26463914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143/199 (71.9%)</w:t>
            </w:r>
          </w:p>
        </w:tc>
        <w:tc>
          <w:tcPr>
            <w:tcW w:w="1571" w:type="dxa"/>
            <w:shd w:val="clear" w:color="auto" w:fill="auto"/>
          </w:tcPr>
          <w:p w14:paraId="6F086C2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2D1" w:rsidRPr="00B6080E" w14:paraId="56C3B830" w14:textId="77777777" w:rsidTr="000A7BF8">
        <w:trPr>
          <w:trHeight w:val="539"/>
        </w:trPr>
        <w:tc>
          <w:tcPr>
            <w:tcW w:w="3139" w:type="dxa"/>
            <w:shd w:val="clear" w:color="auto" w:fill="auto"/>
          </w:tcPr>
          <w:p w14:paraId="412995D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Induction</w:t>
            </w:r>
          </w:p>
        </w:tc>
        <w:tc>
          <w:tcPr>
            <w:tcW w:w="2224" w:type="dxa"/>
            <w:shd w:val="clear" w:color="auto" w:fill="auto"/>
          </w:tcPr>
          <w:p w14:paraId="73667926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6/44 (13.6%)</w:t>
            </w:r>
          </w:p>
        </w:tc>
        <w:tc>
          <w:tcPr>
            <w:tcW w:w="2092" w:type="dxa"/>
            <w:shd w:val="clear" w:color="auto" w:fill="auto"/>
          </w:tcPr>
          <w:p w14:paraId="3D42A668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38/199 (19.1%)</w:t>
            </w:r>
          </w:p>
        </w:tc>
        <w:tc>
          <w:tcPr>
            <w:tcW w:w="1571" w:type="dxa"/>
            <w:shd w:val="clear" w:color="auto" w:fill="auto"/>
          </w:tcPr>
          <w:p w14:paraId="40F6CA82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2D1" w:rsidRPr="00B6080E" w14:paraId="6788D756" w14:textId="77777777" w:rsidTr="000A7BF8">
        <w:trPr>
          <w:trHeight w:val="35"/>
        </w:trPr>
        <w:tc>
          <w:tcPr>
            <w:tcW w:w="3139" w:type="dxa"/>
            <w:shd w:val="clear" w:color="auto" w:fill="auto"/>
          </w:tcPr>
          <w:p w14:paraId="2D7DF6E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ART</w:t>
            </w:r>
          </w:p>
        </w:tc>
        <w:tc>
          <w:tcPr>
            <w:tcW w:w="2224" w:type="dxa"/>
            <w:shd w:val="clear" w:color="auto" w:fill="auto"/>
          </w:tcPr>
          <w:p w14:paraId="54760A95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3/44 (6.8%)</w:t>
            </w:r>
          </w:p>
        </w:tc>
        <w:tc>
          <w:tcPr>
            <w:tcW w:w="2092" w:type="dxa"/>
            <w:shd w:val="clear" w:color="auto" w:fill="auto"/>
          </w:tcPr>
          <w:p w14:paraId="4F80C9F9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18/199 (9.0%)</w:t>
            </w:r>
          </w:p>
        </w:tc>
        <w:tc>
          <w:tcPr>
            <w:tcW w:w="1571" w:type="dxa"/>
            <w:shd w:val="clear" w:color="auto" w:fill="auto"/>
          </w:tcPr>
          <w:p w14:paraId="1AD1391D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2D1" w:rsidRPr="00B6080E" w14:paraId="5EC8BAE6" w14:textId="77777777" w:rsidTr="000A7BF8">
        <w:trPr>
          <w:trHeight w:val="570"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07B9FB3A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TTTS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shd w:val="clear" w:color="auto" w:fill="auto"/>
          </w:tcPr>
          <w:p w14:paraId="04E792A7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11/44 (25%)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42F1B515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12/199 (6.0%)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DBCCB1B" w14:textId="77777777" w:rsidR="004602D1" w:rsidRPr="00B6080E" w:rsidRDefault="004602D1" w:rsidP="00B6080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80E">
              <w:rPr>
                <w:rFonts w:ascii="Times New Roman" w:eastAsia="Times New Roman" w:hAnsi="Times New Roman" w:cs="Times New Roman"/>
                <w:sz w:val="24"/>
                <w:szCs w:val="24"/>
              </w:rPr>
              <w:t>&lt;0.001</w:t>
            </w:r>
          </w:p>
        </w:tc>
      </w:tr>
    </w:tbl>
    <w:p w14:paraId="1E818840" w14:textId="5534B1B6" w:rsidR="00B67F05" w:rsidRPr="00B6080E" w:rsidRDefault="004602D1" w:rsidP="00B6080E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080E">
        <w:rPr>
          <w:rFonts w:ascii="Times New Roman" w:eastAsia="Times New Roman" w:hAnsi="Times New Roman" w:cs="Times New Roman"/>
          <w:sz w:val="24"/>
          <w:szCs w:val="24"/>
        </w:rPr>
        <w:t xml:space="preserve">PROM, premature rupture of membrane; ART, assisted reproductive technology; TTTS, twin-to-twin transfusion </w:t>
      </w:r>
      <w:proofErr w:type="gramStart"/>
      <w:r w:rsidRPr="00B6080E">
        <w:rPr>
          <w:rFonts w:ascii="Times New Roman" w:eastAsia="Times New Roman" w:hAnsi="Times New Roman" w:cs="Times New Roman"/>
          <w:sz w:val="24"/>
          <w:szCs w:val="24"/>
        </w:rPr>
        <w:t>syndrome</w:t>
      </w:r>
      <w:proofErr w:type="gramEnd"/>
    </w:p>
    <w:sectPr w:rsidR="00B67F05" w:rsidRPr="00B60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2D1"/>
    <w:rsid w:val="00346A75"/>
    <w:rsid w:val="004602D1"/>
    <w:rsid w:val="00577C2E"/>
    <w:rsid w:val="008577B5"/>
    <w:rsid w:val="009B5EC8"/>
    <w:rsid w:val="00B6080E"/>
    <w:rsid w:val="00B67F05"/>
    <w:rsid w:val="00BC0BD1"/>
    <w:rsid w:val="00BE517F"/>
    <w:rsid w:val="00EC6A64"/>
    <w:rsid w:val="00F0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178AC"/>
  <w15:chartTrackingRefBased/>
  <w15:docId w15:val="{934D4186-3613-49FC-AB88-15E91BF5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2D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C0B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0B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0BD1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BD1"/>
    <w:rPr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78A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F0178A"/>
    <w:pPr>
      <w:spacing w:after="0" w:line="240" w:lineRule="auto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553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Apurva Mhapuskar1</cp:lastModifiedBy>
  <cp:revision>11</cp:revision>
  <dcterms:created xsi:type="dcterms:W3CDTF">2024-01-01T22:28:00Z</dcterms:created>
  <dcterms:modified xsi:type="dcterms:W3CDTF">2024-02-02T10:22:00Z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60579b27-0c69-470f-b153-5808dbeae761</vt:lpwstr>
  </property>
</Properties>
</file>